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104: Anti-Bullying/Harassment Policy</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Community School District is committed to providing all students, employees, and volunteers with a safe and civil school environment in which all members of the school community are treated with dignity and respect. Bullying and/or harassing behavior can seriously disrupt the ability of school employees to maintain a safe and civil environment, and the ability of students to learn and succeed.  </w:t>
        <w:br w:type="textWrapping"/>
        <w:br w:type="textWrapping"/>
        <w:t xml:space="preserve">Bullying and/or harassment of or by students, employees, and volunteers is against federal, state, and local policy and is not tolerated by the board. </w:t>
        <w:br w:type="textWrapping"/>
        <w:br w:type="textWrapping"/>
        <w:t xml:space="preserve">Accordingly, school employees, volunteers, and students shall not engage in bullying or harassing behavior while on school property, while on school-owned or school-operated vehicles, while attending or participating in school-sponsored or sanctioned activities, and while away from school grounds if the conduct materially interferes with the orderly operation of the educational environment or is likely to do so.</w:t>
        <w:br w:type="textWrapping"/>
        <w:br w:type="textWrapping"/>
        <w:t xml:space="preserve">Complaints may be filed with the superintendent or superintendent’s designee pursuant to the regulation accompanying this policy.  The superintendent is responsible for implementation of this policy and all accompanying procedures. Complaints will be investigated within a reasonable time frame.  Within 24 hours of receiving a report that a student may have been the victim of conduct that constitutes bullying and/or harassment, the district will notify the parent or guardian of the student.</w:t>
        <w:br w:type="textWrapping"/>
        <w:br w:type="textWrapping"/>
        <w:t xml:space="preserve">If as a result of viewing surveillance system data or based on a report from a school district employee, the district determines that a student has suffered bullying or harassment by another student enrolled in the district, a parent or guardian of the student may enroll the student in another attendance center within the district that offers classes at the student’s grade level, subject to the requirements and limitations established in Iowa law related to this topic.</w:t>
        <w:br w:type="textWrapping"/>
        <w:br w:type="textWrapping"/>
        <w:t xml:space="preserve">A school employee, volunteer, or student, or a student’s parent or guardian who promptly, reasonably, and in good faith reports an incident of bullying or harassment, in compliance with the procedures in the regulation, to the appropriate school official designated by the school district, shall be immune from civil or criminal liability relating to such report and to participation in any administrative or judicial proceeding resulting from or relating to the report.</w:t>
        <w:br w:type="textWrapping"/>
        <w:br w:type="textWrapping"/>
      </w:r>
      <w:r w:rsidDel="00000000" w:rsidR="00000000" w:rsidRPr="00000000">
        <w:rPr>
          <w:rFonts w:ascii="Lato" w:cs="Lato" w:eastAsia="Lato" w:hAnsi="Lato"/>
          <w:b w:val="1"/>
          <w:rtl w:val="0"/>
        </w:rPr>
        <w:t xml:space="preserve">Retaliation Prohibited</w:t>
      </w:r>
      <w:r w:rsidDel="00000000" w:rsidR="00000000" w:rsidRPr="00000000">
        <w:rPr>
          <w:rFonts w:ascii="Lato" w:cs="Lato" w:eastAsia="Lato" w:hAnsi="Lato"/>
          <w:rtl w:val="0"/>
        </w:rPr>
        <w:br w:type="textWrapping"/>
        <w:t xml:space="preserve">Individuals who knowingly file false bullying or harassment complaints and any person who gives false statements in an investigation may be subject to discipline by appropriate measures.</w:t>
        <w:br w:type="textWrapping"/>
        <w:br w:type="textWrapping"/>
        <w:t xml:space="preserve">Any student found to have violated or retaliated in violation of this policy shall be subject to measures up to, and including, suspension and expulsion.  Any school employee found to have violated or retaliated in violation of this policy shall be subject to measures up to, and including, termination of employment.  Any school volunteer found to have violated or retaliated in violation of this policy shall be subject to measures up to, and including, removal from service and exclusion from school grounds.  </w:t>
        <w:br w:type="textWrapping"/>
        <w:br w:type="textWrapping"/>
      </w:r>
      <w:r w:rsidDel="00000000" w:rsidR="00000000" w:rsidRPr="00000000">
        <w:rPr>
          <w:rFonts w:ascii="Lato" w:cs="Lato" w:eastAsia="Lato" w:hAnsi="Lato"/>
          <w:b w:val="1"/>
          <w:rtl w:val="0"/>
        </w:rPr>
        <w:t xml:space="preserve">Definitions </w:t>
      </w:r>
      <w:r w:rsidDel="00000000" w:rsidR="00000000" w:rsidRPr="00000000">
        <w:rPr>
          <w:rFonts w:ascii="Lato" w:cs="Lato" w:eastAsia="Lato" w:hAnsi="Lato"/>
          <w:rtl w:val="0"/>
        </w:rPr>
        <w:br w:type="textWrapping"/>
        <w:t xml:space="preserve">For the purposes of this policy, the defined words shall have the following meaning: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“Electronic” means any communication involving the transmission of information by wire, radio, optic cable, electromagnetic, or other similar means.  “Electronic” includes but is not limited to communication via electronic mail, internet-based communications, pager service, cell phones, and electronic text messaging.  </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“Harassment” and “bullying” mean any repeated or potentially repeated electronic, written, verbal, or physical act or other ongoing conduct toward an individual based on any trait or characteristic of the individual which creates an objectively hostile school environment that meets one or more of the following conditions:  </w:t>
      </w:r>
    </w:p>
    <w:p w:rsidR="00000000" w:rsidDel="00000000" w:rsidP="00000000" w:rsidRDefault="00000000" w:rsidRPr="00000000" w14:paraId="0000000A">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Places the individual in reasonable fear of harm to the individual’s person or property. </w:t>
      </w:r>
    </w:p>
    <w:p w:rsidR="00000000" w:rsidDel="00000000" w:rsidP="00000000" w:rsidRDefault="00000000" w:rsidRPr="00000000" w14:paraId="0000000B">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Has a substantial detrimental effect on the individual’s physical or mental health.  </w:t>
      </w:r>
    </w:p>
    <w:p w:rsidR="00000000" w:rsidDel="00000000" w:rsidP="00000000" w:rsidRDefault="00000000" w:rsidRPr="00000000" w14:paraId="0000000C">
      <w:pPr>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Has the effect of substantially interfering with the individual’s academic or career performance.  Has the effect of substantially interfering with the individual’s ability to participate in or benefit from the services, activities, or privileges provided by a school. </w:t>
      </w:r>
    </w:p>
    <w:p w:rsidR="00000000" w:rsidDel="00000000" w:rsidP="00000000" w:rsidRDefault="00000000" w:rsidRPr="00000000" w14:paraId="0000000D">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“Trait or characteristic of the individual” includes but is not limited to age, color, creed, national origin, race, religion, marital status, sex, sexual orientation, gender identity, physical attributes, physical or mental ability or disability, ancestry, political party preference, political belief, socioeconomic status, or familial status.</w:t>
      </w:r>
    </w:p>
    <w:p w:rsidR="00000000" w:rsidDel="00000000" w:rsidP="00000000" w:rsidRDefault="00000000" w:rsidRPr="00000000" w14:paraId="0000000E">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“Volunteer” means an individual who has regular, significant contact with students.</w:t>
      </w:r>
    </w:p>
    <w:p w:rsidR="00000000" w:rsidDel="00000000" w:rsidP="00000000" w:rsidRDefault="00000000" w:rsidRPr="00000000" w14:paraId="0000000F">
      <w:pPr>
        <w:spacing w:after="0" w:lineRule="auto"/>
        <w:rPr>
          <w:rFonts w:ascii="Lato" w:cs="Lato" w:eastAsia="Lato" w:hAnsi="Lato"/>
        </w:rPr>
      </w:pPr>
      <w:r w:rsidDel="00000000" w:rsidR="00000000" w:rsidRPr="00000000">
        <w:rPr>
          <w:rFonts w:ascii="Lato" w:cs="Lato" w:eastAsia="Lato" w:hAnsi="Lato"/>
          <w:b w:val="1"/>
          <w:rtl w:val="0"/>
        </w:rPr>
        <w:t xml:space="preserve">Publication of Policy </w:t>
      </w:r>
      <w:r w:rsidDel="00000000" w:rsidR="00000000" w:rsidRPr="00000000">
        <w:rPr>
          <w:rFonts w:ascii="Lato" w:cs="Lato" w:eastAsia="Lato" w:hAnsi="Lato"/>
          <w:rtl w:val="0"/>
        </w:rPr>
        <w:br w:type="textWrapping"/>
        <w:t xml:space="preserve">The board will annually publish this policy. The policy may be publicized by the following means: </w:t>
      </w:r>
    </w:p>
    <w:p w:rsidR="00000000" w:rsidDel="00000000" w:rsidP="00000000" w:rsidRDefault="00000000" w:rsidRPr="00000000" w14:paraId="00000010">
      <w:pPr>
        <w:numPr>
          <w:ilvl w:val="0"/>
          <w:numId w:val="2"/>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Inclusion in the student handbook,</w:t>
      </w:r>
    </w:p>
    <w:p w:rsidR="00000000" w:rsidDel="00000000" w:rsidP="00000000" w:rsidRDefault="00000000" w:rsidRPr="00000000" w14:paraId="00000011">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Inclusion in the employee handbook</w:t>
      </w:r>
    </w:p>
    <w:p w:rsidR="00000000" w:rsidDel="00000000" w:rsidP="00000000" w:rsidRDefault="00000000" w:rsidRPr="00000000" w14:paraId="00000012">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Inclusion in the registration materials</w:t>
      </w:r>
    </w:p>
    <w:p w:rsidR="00000000" w:rsidDel="00000000" w:rsidP="00000000" w:rsidRDefault="00000000" w:rsidRPr="00000000" w14:paraId="00000013">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Inclusion on the school or school district’s web site,</w:t>
      </w:r>
    </w:p>
    <w:p w:rsidR="00000000" w:rsidDel="00000000" w:rsidP="00000000" w:rsidRDefault="00000000" w:rsidRPr="00000000" w14:paraId="00000014">
      <w:pPr>
        <w:spacing w:after="0" w:lineRule="auto"/>
        <w:rPr>
          <w:rFonts w:ascii="Lato" w:cs="Lato" w:eastAsia="Lato" w:hAnsi="Lato"/>
        </w:rPr>
      </w:pPr>
      <w:r w:rsidDel="00000000" w:rsidR="00000000" w:rsidRPr="00000000">
        <w:rPr>
          <w:rFonts w:ascii="Lato" w:cs="Lato" w:eastAsia="Lato" w:hAnsi="Lato"/>
          <w:rtl w:val="0"/>
        </w:rPr>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rtl w:val="0"/>
              </w:rPr>
              <w:t xml:space="preserve">20 U.S.C. §§ 1221-1234i.</w:t>
              <w:br w:type="textWrapping"/>
              <w:t xml:space="preserve">29 U.S.C. § 794.</w:t>
              <w:br w:type="textWrapping"/>
              <w:t xml:space="preserve">42 U.S.C. §§ 2000d-2000d-7. </w:t>
              <w:br w:type="textWrapping"/>
              <w:t xml:space="preserve">42 U.S.C. §§ 12101 2et. seq.</w:t>
              <w:br w:type="textWrapping"/>
              <w:t xml:space="preserve">Iowa Code §§ 216.9; 279.82; 280.3; .28;    </w:t>
              <w:br w:type="textWrapping"/>
              <w:t xml:space="preserve">281 I.A.C. 12.3(6).</w:t>
              <w:br w:type="textWrapping"/>
            </w:r>
            <w:r w:rsidDel="00000000" w:rsidR="00000000" w:rsidRPr="00000000">
              <w:rPr>
                <w:rFonts w:ascii="Lato" w:cs="Lato" w:eastAsia="Lato" w:hAnsi="Lato"/>
                <w:i w:val="1"/>
                <w:u w:val="single"/>
                <w:rtl w:val="0"/>
              </w:rPr>
              <w:t xml:space="preserve">Morse v. Frederick</w:t>
            </w:r>
            <w:r w:rsidDel="00000000" w:rsidR="00000000" w:rsidRPr="00000000">
              <w:rPr>
                <w:rFonts w:ascii="Lato" w:cs="Lato" w:eastAsia="Lato" w:hAnsi="Lato"/>
                <w:rtl w:val="0"/>
              </w:rPr>
              <w:t xml:space="preserve">, 551 U.S. 393 (2007)</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Iowa Code  § 216.9</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7">
              <w:r w:rsidDel="00000000" w:rsidR="00000000" w:rsidRPr="00000000">
                <w:rPr>
                  <w:rFonts w:ascii="Lato" w:cs="Lato" w:eastAsia="Lato" w:hAnsi="Lato"/>
                  <w:color w:val="0563c1"/>
                  <w:u w:val="single"/>
                  <w:rtl w:val="0"/>
                </w:rPr>
                <w:t xml:space="preserve">Unfair/Discriminatory Practices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Iowa Code  § 280.28</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8">
              <w:r w:rsidDel="00000000" w:rsidR="00000000" w:rsidRPr="00000000">
                <w:rPr>
                  <w:rFonts w:ascii="Lato" w:cs="Lato" w:eastAsia="Lato" w:hAnsi="Lato"/>
                  <w:color w:val="0563c1"/>
                  <w:u w:val="single"/>
                  <w:rtl w:val="0"/>
                </w:rPr>
                <w:t xml:space="preserve">Harassment and Bullying Prohibited</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Iowa Code  § 280.3</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9">
              <w:r w:rsidDel="00000000" w:rsidR="00000000" w:rsidRPr="00000000">
                <w:rPr>
                  <w:rFonts w:ascii="Lato" w:cs="Lato" w:eastAsia="Lato" w:hAnsi="Lato"/>
                  <w:color w:val="0563c1"/>
                  <w:u w:val="single"/>
                  <w:rtl w:val="0"/>
                </w:rPr>
                <w:t xml:space="preserve">Education Program - Attendance Center Requirements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Iowa Code § 279.82</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0">
              <w:r w:rsidDel="00000000" w:rsidR="00000000" w:rsidRPr="00000000">
                <w:rPr>
                  <w:rFonts w:ascii="Lato" w:cs="Lato" w:eastAsia="Lato" w:hAnsi="Lato"/>
                  <w:color w:val="0563c1"/>
                  <w:u w:val="single"/>
                  <w:rtl w:val="0"/>
                </w:rPr>
                <w:t xml:space="preserve">Intra-District Enrollment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281 I.A.C. 12.3</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1">
              <w:r w:rsidDel="00000000" w:rsidR="00000000" w:rsidRPr="00000000">
                <w:rPr>
                  <w:rFonts w:ascii="Lato" w:cs="Lato" w:eastAsia="Lato" w:hAnsi="Lato"/>
                  <w:color w:val="0563c1"/>
                  <w:u w:val="single"/>
                  <w:rtl w:val="0"/>
                </w:rPr>
                <w:t xml:space="preserve">Administration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w:cs="Lato" w:eastAsia="Lato" w:hAnsi="Lato"/>
                <w:rtl w:val="0"/>
              </w:rPr>
              <w:t xml:space="preserve">20 U.S.C. §§ 1221</w:t>
            </w:r>
            <w:r w:rsidDel="00000000" w:rsidR="00000000" w:rsidRPr="00000000">
              <w:rPr>
                <w:rtl w:val="0"/>
              </w:rPr>
            </w:r>
          </w:p>
        </w:tc>
        <w:tc>
          <w:tcPr>
            <w:tcMar>
              <w:top w:w="0.0" w:type="dxa"/>
              <w:bottom w:w="0.0" w:type="dxa"/>
            </w:tcMar>
          </w:tcPr>
          <w:p w:rsidR="00000000" w:rsidDel="00000000" w:rsidP="00000000" w:rsidRDefault="00000000" w:rsidRPr="00000000" w14:paraId="0000002A">
            <w:pPr>
              <w:rPr/>
            </w:pPr>
            <w:hyperlink r:id="rId12">
              <w:r w:rsidDel="00000000" w:rsidR="00000000" w:rsidRPr="00000000">
                <w:rPr>
                  <w:rFonts w:ascii="Lato" w:cs="Lato" w:eastAsia="Lato" w:hAnsi="Lato"/>
                  <w:color w:val="0563c1"/>
                  <w:u w:val="single"/>
                  <w:rtl w:val="0"/>
                </w:rPr>
                <w:t xml:space="preserve">Education - FERPA - General Provisions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w:cs="Lato" w:eastAsia="Lato" w:hAnsi="Lato"/>
                <w:rtl w:val="0"/>
              </w:rPr>
              <w:t xml:space="preserve">29 U.S.C. §§ 794</w:t>
            </w:r>
            <w:r w:rsidDel="00000000" w:rsidR="00000000" w:rsidRPr="00000000">
              <w:rPr>
                <w:rtl w:val="0"/>
              </w:rPr>
            </w:r>
          </w:p>
        </w:tc>
        <w:tc>
          <w:tcPr>
            <w:tcMar>
              <w:top w:w="0.0" w:type="dxa"/>
              <w:bottom w:w="0.0" w:type="dxa"/>
            </w:tcMar>
          </w:tcPr>
          <w:p w:rsidR="00000000" w:rsidDel="00000000" w:rsidP="00000000" w:rsidRDefault="00000000" w:rsidRPr="00000000" w14:paraId="0000002C">
            <w:pPr>
              <w:rPr/>
            </w:pPr>
            <w:hyperlink r:id="rId13">
              <w:r w:rsidDel="00000000" w:rsidR="00000000" w:rsidRPr="00000000">
                <w:rPr>
                  <w:rFonts w:ascii="Lato" w:cs="Lato" w:eastAsia="Lato" w:hAnsi="Lato"/>
                  <w:color w:val="0563c1"/>
                  <w:u w:val="single"/>
                  <w:rtl w:val="0"/>
                </w:rPr>
                <w:t xml:space="preserve">Labor - Vocation Rehab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w:cs="Lato" w:eastAsia="Lato" w:hAnsi="Lato"/>
                <w:rtl w:val="0"/>
              </w:rPr>
              <w:t xml:space="preserve">42 U.S.C. § 12101</w:t>
            </w:r>
            <w:r w:rsidDel="00000000" w:rsidR="00000000" w:rsidRPr="00000000">
              <w:rPr>
                <w:rtl w:val="0"/>
              </w:rPr>
            </w:r>
          </w:p>
        </w:tc>
        <w:tc>
          <w:tcPr>
            <w:tcMar>
              <w:top w:w="0.0" w:type="dxa"/>
              <w:bottom w:w="0.0" w:type="dxa"/>
            </w:tcMar>
          </w:tcPr>
          <w:p w:rsidR="00000000" w:rsidDel="00000000" w:rsidP="00000000" w:rsidRDefault="00000000" w:rsidRPr="00000000" w14:paraId="0000002E">
            <w:pPr>
              <w:rPr/>
            </w:pPr>
            <w:hyperlink r:id="rId14">
              <w:r w:rsidDel="00000000" w:rsidR="00000000" w:rsidRPr="00000000">
                <w:rPr>
                  <w:rFonts w:ascii="Lato" w:cs="Lato" w:eastAsia="Lato" w:hAnsi="Lato"/>
                  <w:color w:val="0563c1"/>
                  <w:u w:val="single"/>
                  <w:rtl w:val="0"/>
                </w:rPr>
                <w:t xml:space="preserve">Public Health - Equal Opportunity - Disabilities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w:cs="Lato" w:eastAsia="Lato" w:hAnsi="Lato"/>
                <w:rtl w:val="0"/>
              </w:rPr>
              <w:t xml:space="preserve">42 U.S.C. § 2000d</w:t>
            </w:r>
            <w:r w:rsidDel="00000000" w:rsidR="00000000" w:rsidRPr="00000000">
              <w:rPr>
                <w:rtl w:val="0"/>
              </w:rPr>
            </w:r>
          </w:p>
        </w:tc>
        <w:tc>
          <w:tcPr>
            <w:tcMar>
              <w:top w:w="0.0" w:type="dxa"/>
              <w:bottom w:w="0.0" w:type="dxa"/>
            </w:tcMar>
          </w:tcPr>
          <w:p w:rsidR="00000000" w:rsidDel="00000000" w:rsidP="00000000" w:rsidRDefault="00000000" w:rsidRPr="00000000" w14:paraId="00000030">
            <w:pPr>
              <w:rPr/>
            </w:pPr>
            <w:hyperlink r:id="rId15">
              <w:r w:rsidDel="00000000" w:rsidR="00000000" w:rsidRPr="00000000">
                <w:rPr>
                  <w:rFonts w:ascii="Lato" w:cs="Lato" w:eastAsia="Lato" w:hAnsi="Lato"/>
                  <w:color w:val="0563c1"/>
                  <w:u w:val="single"/>
                  <w:rtl w:val="0"/>
                </w:rPr>
                <w:t xml:space="preserve">Public Health - Civil Rights - Federally Programs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Black" w:cs="Lato Black" w:eastAsia="Lato Black" w:hAnsi="Lato Black"/>
                <w:b w:val="1"/>
                <w:rtl w:val="0"/>
              </w:rPr>
              <w:t xml:space="preserve">U.S. Supreme Court</w:t>
            </w:r>
            <w:r w:rsidDel="00000000" w:rsidR="00000000" w:rsidRPr="00000000">
              <w:rPr>
                <w:rtl w:val="0"/>
              </w:rPr>
            </w:r>
          </w:p>
        </w:tc>
        <w:tc>
          <w:tcPr>
            <w:tcMar>
              <w:top w:w="0.0" w:type="dxa"/>
              <w:bottom w:w="0.0" w:type="dxa"/>
            </w:tcMar>
          </w:tcPr>
          <w:p w:rsidR="00000000" w:rsidDel="00000000" w:rsidP="00000000" w:rsidRDefault="00000000" w:rsidRPr="00000000" w14:paraId="00000032">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3">
            <w:pPr>
              <w:spacing w:after="0" w:lineRule="auto"/>
              <w:rPr/>
            </w:pPr>
            <w:r w:rsidDel="00000000" w:rsidR="00000000" w:rsidRPr="00000000">
              <w:rPr>
                <w:rFonts w:ascii="Lato" w:cs="Lato" w:eastAsia="Lato" w:hAnsi="Lato"/>
                <w:rtl w:val="0"/>
              </w:rPr>
              <w:t xml:space="preserve">551 U.S. 393</w:t>
            </w:r>
            <w:r w:rsidDel="00000000" w:rsidR="00000000" w:rsidRPr="00000000">
              <w:rPr>
                <w:rtl w:val="0"/>
              </w:rPr>
            </w:r>
          </w:p>
        </w:tc>
        <w:tc>
          <w:tcPr>
            <w:tcMar>
              <w:top w:w="0.0" w:type="dxa"/>
              <w:bottom w:w="0.0" w:type="dxa"/>
            </w:tcMar>
          </w:tcPr>
          <w:p w:rsidR="00000000" w:rsidDel="00000000" w:rsidP="00000000" w:rsidRDefault="00000000" w:rsidRPr="00000000" w14:paraId="00000034">
            <w:pPr>
              <w:rPr/>
            </w:pPr>
            <w:hyperlink r:id="rId16">
              <w:r w:rsidDel="00000000" w:rsidR="00000000" w:rsidRPr="00000000">
                <w:rPr>
                  <w:rFonts w:ascii="Lato" w:cs="Lato" w:eastAsia="Lato" w:hAnsi="Lato"/>
                  <w:color w:val="0563c1"/>
                  <w:u w:val="single"/>
                  <w:rtl w:val="0"/>
                </w:rPr>
                <w:t xml:space="preserve">Morse v Frederick (2007)</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5">
            <w:pPr>
              <w:spacing w:after="0" w:lineRule="auto"/>
              <w:rPr/>
            </w:pPr>
            <w:r w:rsidDel="00000000" w:rsidR="00000000" w:rsidRPr="00000000">
              <w:rPr>
                <w:rFonts w:ascii="Lato Black" w:cs="Lato Black" w:eastAsia="Lato Black" w:hAnsi="Lato Black"/>
                <w:b w:val="1"/>
                <w:rtl w:val="0"/>
              </w:rPr>
              <w:t xml:space="preserve">Case Law</w:t>
            </w:r>
            <w:r w:rsidDel="00000000" w:rsidR="00000000" w:rsidRPr="00000000">
              <w:rPr>
                <w:rtl w:val="0"/>
              </w:rPr>
            </w:r>
          </w:p>
        </w:tc>
        <w:tc>
          <w:tcPr>
            <w:tcMar>
              <w:top w:w="0.0" w:type="dxa"/>
              <w:bottom w:w="0.0" w:type="dxa"/>
            </w:tcMar>
          </w:tcPr>
          <w:p w:rsidR="00000000" w:rsidDel="00000000" w:rsidP="00000000" w:rsidRDefault="00000000" w:rsidRPr="00000000" w14:paraId="0000003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7">
            <w:pPr>
              <w:spacing w:after="0" w:lineRule="auto"/>
              <w:rPr/>
            </w:pPr>
            <w:r w:rsidDel="00000000" w:rsidR="00000000" w:rsidRPr="00000000">
              <w:rPr>
                <w:rFonts w:ascii="Lato" w:cs="Lato" w:eastAsia="Lato" w:hAnsi="Lato"/>
                <w:rtl w:val="0"/>
              </w:rPr>
              <w:t xml:space="preserve">Morse v. Frederick</w:t>
            </w:r>
            <w:r w:rsidDel="00000000" w:rsidR="00000000" w:rsidRPr="00000000">
              <w:rPr>
                <w:rtl w:val="0"/>
              </w:rPr>
            </w:r>
          </w:p>
        </w:tc>
        <w:tc>
          <w:tcPr>
            <w:tcMar>
              <w:top w:w="0.0" w:type="dxa"/>
              <w:bottom w:w="0.0" w:type="dxa"/>
            </w:tcMar>
          </w:tcPr>
          <w:p w:rsidR="00000000" w:rsidDel="00000000" w:rsidP="00000000" w:rsidRDefault="00000000" w:rsidRPr="00000000" w14:paraId="00000038">
            <w:pPr>
              <w:rPr/>
            </w:pPr>
            <w:r w:rsidDel="00000000" w:rsidR="00000000" w:rsidRPr="00000000">
              <w:rPr>
                <w:rFonts w:ascii="Lato" w:cs="Lato" w:eastAsia="Lato" w:hAnsi="Lato"/>
                <w:rtl w:val="0"/>
              </w:rPr>
              <w:t xml:space="preserve">551 U.S. 393 (2007) </w:t>
            </w:r>
            <w:r w:rsidDel="00000000" w:rsidR="00000000" w:rsidRPr="00000000">
              <w:rPr>
                <w:rtl w:val="0"/>
              </w:rPr>
            </w:r>
          </w:p>
        </w:tc>
      </w:tr>
    </w:tbl>
    <w:p w:rsidR="00000000" w:rsidDel="00000000" w:rsidP="00000000" w:rsidRDefault="00000000" w:rsidRPr="00000000" w14:paraId="00000039">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3A">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3B">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C">
            <w:pPr>
              <w:spacing w:after="0" w:lineRule="auto"/>
              <w:rPr/>
            </w:pPr>
            <w:r w:rsidDel="00000000" w:rsidR="00000000" w:rsidRPr="00000000">
              <w:rPr>
                <w:rFonts w:ascii="Lato" w:cs="Lato" w:eastAsia="Lato" w:hAnsi="Lato"/>
                <w:rtl w:val="0"/>
              </w:rPr>
              <w:t xml:space="preserve">102</w:t>
            </w:r>
            <w:r w:rsidDel="00000000" w:rsidR="00000000" w:rsidRPr="00000000">
              <w:rPr>
                <w:rtl w:val="0"/>
              </w:rPr>
            </w:r>
          </w:p>
        </w:tc>
        <w:tc>
          <w:tcPr>
            <w:tcMar>
              <w:top w:w="0.0" w:type="dxa"/>
              <w:bottom w:w="0.0" w:type="dxa"/>
            </w:tcMar>
          </w:tcPr>
          <w:p w:rsidR="00000000" w:rsidDel="00000000" w:rsidP="00000000" w:rsidRDefault="00000000" w:rsidRPr="00000000" w14:paraId="0000003D">
            <w:pPr>
              <w:rPr/>
            </w:pPr>
            <w:hyperlink r:id="rId17">
              <w:r w:rsidDel="00000000" w:rsidR="00000000" w:rsidRPr="00000000">
                <w:rPr>
                  <w:rFonts w:ascii="Lato" w:cs="Lato" w:eastAsia="Lato" w:hAnsi="Lato"/>
                  <w:color w:val="0563c1"/>
                  <w:u w:val="single"/>
                  <w:rtl w:val="0"/>
                </w:rPr>
                <w:t xml:space="preserve">Equal Educational Opportunity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E">
            <w:pPr>
              <w:spacing w:after="0" w:lineRule="auto"/>
              <w:rPr/>
            </w:pPr>
            <w:r w:rsidDel="00000000" w:rsidR="00000000" w:rsidRPr="00000000">
              <w:rPr>
                <w:rFonts w:ascii="Lato" w:cs="Lato" w:eastAsia="Lato" w:hAnsi="Lato"/>
                <w:rtl w:val="0"/>
              </w:rPr>
              <w:t xml:space="preserve">102-R(1)</w:t>
            </w:r>
            <w:r w:rsidDel="00000000" w:rsidR="00000000" w:rsidRPr="00000000">
              <w:rPr>
                <w:rtl w:val="0"/>
              </w:rPr>
            </w:r>
          </w:p>
        </w:tc>
        <w:tc>
          <w:tcPr>
            <w:tcMar>
              <w:top w:w="0.0" w:type="dxa"/>
              <w:bottom w:w="0.0" w:type="dxa"/>
            </w:tcMar>
          </w:tcPr>
          <w:p w:rsidR="00000000" w:rsidDel="00000000" w:rsidP="00000000" w:rsidRDefault="00000000" w:rsidRPr="00000000" w14:paraId="0000003F">
            <w:pPr>
              <w:rPr/>
            </w:pPr>
            <w:hyperlink r:id="rId18">
              <w:r w:rsidDel="00000000" w:rsidR="00000000" w:rsidRPr="00000000">
                <w:rPr>
                  <w:rFonts w:ascii="Lato" w:cs="Lato" w:eastAsia="Lato" w:hAnsi="Lato"/>
                  <w:color w:val="0563c1"/>
                  <w:u w:val="single"/>
                  <w:rtl w:val="0"/>
                </w:rPr>
                <w:t xml:space="preserve">Equal Educational Opportunity - Grievance Procedure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0">
            <w:pPr>
              <w:spacing w:after="0" w:lineRule="auto"/>
              <w:rPr/>
            </w:pPr>
            <w:r w:rsidDel="00000000" w:rsidR="00000000" w:rsidRPr="00000000">
              <w:rPr>
                <w:rFonts w:ascii="Lato" w:cs="Lato" w:eastAsia="Lato" w:hAnsi="Lato"/>
                <w:rtl w:val="0"/>
              </w:rPr>
              <w:t xml:space="preserve">102-EH(1)</w:t>
            </w:r>
            <w:r w:rsidDel="00000000" w:rsidR="00000000" w:rsidRPr="00000000">
              <w:rPr>
                <w:rtl w:val="0"/>
              </w:rPr>
            </w:r>
          </w:p>
        </w:tc>
        <w:tc>
          <w:tcPr>
            <w:tcMar>
              <w:top w:w="0.0" w:type="dxa"/>
              <w:bottom w:w="0.0" w:type="dxa"/>
            </w:tcMar>
          </w:tcPr>
          <w:p w:rsidR="00000000" w:rsidDel="00000000" w:rsidP="00000000" w:rsidRDefault="00000000" w:rsidRPr="00000000" w14:paraId="00000041">
            <w:pPr>
              <w:rPr/>
            </w:pPr>
            <w:hyperlink r:id="rId19">
              <w:r w:rsidDel="00000000" w:rsidR="00000000" w:rsidRPr="00000000">
                <w:rPr>
                  <w:rFonts w:ascii="Lato" w:cs="Lato" w:eastAsia="Lato" w:hAnsi="Lato"/>
                  <w:color w:val="0563c1"/>
                  <w:u w:val="single"/>
                  <w:rtl w:val="0"/>
                </w:rPr>
                <w:t xml:space="preserve">Equal Educational Opportunity - Annual Notice of Nondiscrimination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2">
            <w:pPr>
              <w:spacing w:after="0" w:lineRule="auto"/>
              <w:rPr/>
            </w:pPr>
            <w:r w:rsidDel="00000000" w:rsidR="00000000" w:rsidRPr="00000000">
              <w:rPr>
                <w:rFonts w:ascii="Lato" w:cs="Lato" w:eastAsia="Lato" w:hAnsi="Lato"/>
                <w:rtl w:val="0"/>
              </w:rPr>
              <w:t xml:space="preserve">102-EH(2)</w:t>
            </w:r>
            <w:r w:rsidDel="00000000" w:rsidR="00000000" w:rsidRPr="00000000">
              <w:rPr>
                <w:rtl w:val="0"/>
              </w:rPr>
            </w:r>
          </w:p>
        </w:tc>
        <w:tc>
          <w:tcPr>
            <w:tcMar>
              <w:top w:w="0.0" w:type="dxa"/>
              <w:bottom w:w="0.0" w:type="dxa"/>
            </w:tcMar>
          </w:tcPr>
          <w:p w:rsidR="00000000" w:rsidDel="00000000" w:rsidP="00000000" w:rsidRDefault="00000000" w:rsidRPr="00000000" w14:paraId="00000043">
            <w:pPr>
              <w:rPr/>
            </w:pPr>
            <w:hyperlink r:id="rId20">
              <w:r w:rsidDel="00000000" w:rsidR="00000000" w:rsidRPr="00000000">
                <w:rPr>
                  <w:rFonts w:ascii="Lato" w:cs="Lato" w:eastAsia="Lato" w:hAnsi="Lato"/>
                  <w:color w:val="0563c1"/>
                  <w:u w:val="single"/>
                  <w:rtl w:val="0"/>
                </w:rPr>
                <w:t xml:space="preserve">Equal Educational Opportunity - Continuous Notice of Nondiscrimination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4">
            <w:pPr>
              <w:spacing w:after="0" w:lineRule="auto"/>
              <w:rPr/>
            </w:pPr>
            <w:r w:rsidDel="00000000" w:rsidR="00000000" w:rsidRPr="00000000">
              <w:rPr>
                <w:rFonts w:ascii="Lato" w:cs="Lato" w:eastAsia="Lato" w:hAnsi="Lato"/>
                <w:rtl w:val="0"/>
              </w:rPr>
              <w:t xml:space="preserve">102-EH(3)</w:t>
            </w:r>
            <w:r w:rsidDel="00000000" w:rsidR="00000000" w:rsidRPr="00000000">
              <w:rPr>
                <w:rtl w:val="0"/>
              </w:rPr>
            </w:r>
          </w:p>
        </w:tc>
        <w:tc>
          <w:tcPr>
            <w:tcMar>
              <w:top w:w="0.0" w:type="dxa"/>
              <w:bottom w:w="0.0" w:type="dxa"/>
            </w:tcMar>
          </w:tcPr>
          <w:p w:rsidR="00000000" w:rsidDel="00000000" w:rsidP="00000000" w:rsidRDefault="00000000" w:rsidRPr="00000000" w14:paraId="00000045">
            <w:pPr>
              <w:rPr/>
            </w:pPr>
            <w:hyperlink r:id="rId21">
              <w:r w:rsidDel="00000000" w:rsidR="00000000" w:rsidRPr="00000000">
                <w:rPr>
                  <w:rFonts w:ascii="Lato" w:cs="Lato" w:eastAsia="Lato" w:hAnsi="Lato"/>
                  <w:color w:val="0563c1"/>
                  <w:u w:val="single"/>
                  <w:rtl w:val="0"/>
                </w:rPr>
                <w:t xml:space="preserve">Equal Educational Opportunity - Notice of Section 504 Student and Parental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6">
            <w:pPr>
              <w:spacing w:after="0" w:lineRule="auto"/>
              <w:rPr/>
            </w:pPr>
            <w:r w:rsidDel="00000000" w:rsidR="00000000" w:rsidRPr="00000000">
              <w:rPr>
                <w:rFonts w:ascii="Lato" w:cs="Lato" w:eastAsia="Lato" w:hAnsi="Lato"/>
                <w:rtl w:val="0"/>
              </w:rPr>
              <w:t xml:space="preserve">102-E(4)</w:t>
            </w:r>
            <w:r w:rsidDel="00000000" w:rsidR="00000000" w:rsidRPr="00000000">
              <w:rPr>
                <w:rtl w:val="0"/>
              </w:rPr>
            </w:r>
          </w:p>
        </w:tc>
        <w:tc>
          <w:tcPr>
            <w:tcMar>
              <w:top w:w="0.0" w:type="dxa"/>
              <w:bottom w:w="0.0" w:type="dxa"/>
            </w:tcMar>
          </w:tcPr>
          <w:p w:rsidR="00000000" w:rsidDel="00000000" w:rsidP="00000000" w:rsidRDefault="00000000" w:rsidRPr="00000000" w14:paraId="00000047">
            <w:pPr>
              <w:rPr/>
            </w:pPr>
            <w:hyperlink r:id="rId22">
              <w:r w:rsidDel="00000000" w:rsidR="00000000" w:rsidRPr="00000000">
                <w:rPr>
                  <w:rFonts w:ascii="Lato" w:cs="Lato" w:eastAsia="Lato" w:hAnsi="Lato"/>
                  <w:color w:val="0563c1"/>
                  <w:u w:val="single"/>
                  <w:rtl w:val="0"/>
                </w:rPr>
                <w:t xml:space="preserve">Equal Educational Opportunity - Discrimination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8">
            <w:pPr>
              <w:spacing w:after="0" w:lineRule="auto"/>
              <w:rPr/>
            </w:pPr>
            <w:r w:rsidDel="00000000" w:rsidR="00000000" w:rsidRPr="00000000">
              <w:rPr>
                <w:rFonts w:ascii="Lato" w:cs="Lato" w:eastAsia="Lato" w:hAnsi="Lato"/>
                <w:rtl w:val="0"/>
              </w:rPr>
              <w:t xml:space="preserve">102-E(5)</w:t>
            </w:r>
            <w:r w:rsidDel="00000000" w:rsidR="00000000" w:rsidRPr="00000000">
              <w:rPr>
                <w:rtl w:val="0"/>
              </w:rPr>
            </w:r>
          </w:p>
        </w:tc>
        <w:tc>
          <w:tcPr>
            <w:tcMar>
              <w:top w:w="0.0" w:type="dxa"/>
              <w:bottom w:w="0.0" w:type="dxa"/>
            </w:tcMar>
          </w:tcPr>
          <w:p w:rsidR="00000000" w:rsidDel="00000000" w:rsidP="00000000" w:rsidRDefault="00000000" w:rsidRPr="00000000" w14:paraId="00000049">
            <w:pPr>
              <w:rPr/>
            </w:pPr>
            <w:hyperlink r:id="rId23">
              <w:r w:rsidDel="00000000" w:rsidR="00000000" w:rsidRPr="00000000">
                <w:rPr>
                  <w:rFonts w:ascii="Lato" w:cs="Lato" w:eastAsia="Lato" w:hAnsi="Lato"/>
                  <w:color w:val="0563c1"/>
                  <w:u w:val="single"/>
                  <w:rtl w:val="0"/>
                </w:rPr>
                <w:t xml:space="preserve">Equal Educational Opportunity - Witness Disclosure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A">
            <w:pPr>
              <w:spacing w:after="0" w:lineRule="auto"/>
              <w:rPr/>
            </w:pPr>
            <w:r w:rsidDel="00000000" w:rsidR="00000000" w:rsidRPr="00000000">
              <w:rPr>
                <w:rFonts w:ascii="Lato" w:cs="Lato" w:eastAsia="Lato" w:hAnsi="Lato"/>
                <w:rtl w:val="0"/>
              </w:rPr>
              <w:t xml:space="preserve">102-E(6)</w:t>
            </w:r>
            <w:r w:rsidDel="00000000" w:rsidR="00000000" w:rsidRPr="00000000">
              <w:rPr>
                <w:rtl w:val="0"/>
              </w:rPr>
            </w:r>
          </w:p>
        </w:tc>
        <w:tc>
          <w:tcPr>
            <w:tcMar>
              <w:top w:w="0.0" w:type="dxa"/>
              <w:bottom w:w="0.0" w:type="dxa"/>
            </w:tcMar>
          </w:tcPr>
          <w:p w:rsidR="00000000" w:rsidDel="00000000" w:rsidP="00000000" w:rsidRDefault="00000000" w:rsidRPr="00000000" w14:paraId="0000004B">
            <w:pPr>
              <w:rPr/>
            </w:pPr>
            <w:hyperlink r:id="rId24">
              <w:r w:rsidDel="00000000" w:rsidR="00000000" w:rsidRPr="00000000">
                <w:rPr>
                  <w:rFonts w:ascii="Lato" w:cs="Lato" w:eastAsia="Lato" w:hAnsi="Lato"/>
                  <w:color w:val="0563c1"/>
                  <w:u w:val="single"/>
                  <w:rtl w:val="0"/>
                </w:rPr>
                <w:t xml:space="preserve">Equal Educational Opportunity - Disposition of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C">
            <w:pPr>
              <w:spacing w:after="0" w:lineRule="auto"/>
              <w:rPr/>
            </w:pPr>
            <w:r w:rsidDel="00000000" w:rsidR="00000000" w:rsidRPr="00000000">
              <w:rPr>
                <w:rFonts w:ascii="Lato" w:cs="Lato" w:eastAsia="Lato" w:hAnsi="Lato"/>
                <w:rtl w:val="0"/>
              </w:rPr>
              <w:t xml:space="preserve">401.01</w:t>
            </w:r>
            <w:r w:rsidDel="00000000" w:rsidR="00000000" w:rsidRPr="00000000">
              <w:rPr>
                <w:rtl w:val="0"/>
              </w:rPr>
            </w:r>
          </w:p>
        </w:tc>
        <w:tc>
          <w:tcPr>
            <w:tcMar>
              <w:top w:w="0.0" w:type="dxa"/>
              <w:bottom w:w="0.0" w:type="dxa"/>
            </w:tcMar>
          </w:tcPr>
          <w:p w:rsidR="00000000" w:rsidDel="00000000" w:rsidP="00000000" w:rsidRDefault="00000000" w:rsidRPr="00000000" w14:paraId="0000004D">
            <w:pPr>
              <w:rPr/>
            </w:pPr>
            <w:hyperlink r:id="rId25">
              <w:r w:rsidDel="00000000" w:rsidR="00000000" w:rsidRPr="00000000">
                <w:rPr>
                  <w:rFonts w:ascii="Lato" w:cs="Lato" w:eastAsia="Lato" w:hAnsi="Lato"/>
                  <w:color w:val="0563c1"/>
                  <w:u w:val="single"/>
                  <w:rtl w:val="0"/>
                </w:rPr>
                <w:t xml:space="preserve">Equal Employment Opportunity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E">
            <w:pPr>
              <w:spacing w:after="0" w:lineRule="auto"/>
              <w:rPr/>
            </w:pPr>
            <w:r w:rsidDel="00000000" w:rsidR="00000000" w:rsidRPr="00000000">
              <w:rPr>
                <w:rFonts w:ascii="Lato" w:cs="Lato" w:eastAsia="Lato" w:hAnsi="Lato"/>
                <w:rtl w:val="0"/>
              </w:rPr>
              <w:t xml:space="preserve">402.03</w:t>
            </w:r>
            <w:r w:rsidDel="00000000" w:rsidR="00000000" w:rsidRPr="00000000">
              <w:rPr>
                <w:rtl w:val="0"/>
              </w:rPr>
            </w:r>
          </w:p>
        </w:tc>
        <w:tc>
          <w:tcPr>
            <w:tcMar>
              <w:top w:w="0.0" w:type="dxa"/>
              <w:bottom w:w="0.0" w:type="dxa"/>
            </w:tcMar>
          </w:tcPr>
          <w:p w:rsidR="00000000" w:rsidDel="00000000" w:rsidP="00000000" w:rsidRDefault="00000000" w:rsidRPr="00000000" w14:paraId="0000004F">
            <w:pPr>
              <w:rPr/>
            </w:pPr>
            <w:hyperlink r:id="rId26">
              <w:r w:rsidDel="00000000" w:rsidR="00000000" w:rsidRPr="00000000">
                <w:rPr>
                  <w:rFonts w:ascii="Lato" w:cs="Lato" w:eastAsia="Lato" w:hAnsi="Lato"/>
                  <w:color w:val="0563c1"/>
                  <w:u w:val="single"/>
                  <w:rtl w:val="0"/>
                </w:rPr>
                <w:t xml:space="preserve">Abuse of Students by School District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0">
            <w:pPr>
              <w:spacing w:after="0" w:lineRule="auto"/>
              <w:rPr/>
            </w:pPr>
            <w:r w:rsidDel="00000000" w:rsidR="00000000" w:rsidRPr="00000000">
              <w:rPr>
                <w:rFonts w:ascii="Lato" w:cs="Lato" w:eastAsia="Lato" w:hAnsi="Lato"/>
                <w:rtl w:val="0"/>
              </w:rPr>
              <w:t xml:space="preserve">404</w:t>
            </w:r>
            <w:r w:rsidDel="00000000" w:rsidR="00000000" w:rsidRPr="00000000">
              <w:rPr>
                <w:rtl w:val="0"/>
              </w:rPr>
            </w:r>
          </w:p>
        </w:tc>
        <w:tc>
          <w:tcPr>
            <w:tcMar>
              <w:top w:w="0.0" w:type="dxa"/>
              <w:bottom w:w="0.0" w:type="dxa"/>
            </w:tcMar>
          </w:tcPr>
          <w:p w:rsidR="00000000" w:rsidDel="00000000" w:rsidP="00000000" w:rsidRDefault="00000000" w:rsidRPr="00000000" w14:paraId="00000051">
            <w:pPr>
              <w:rPr/>
            </w:pPr>
            <w:hyperlink r:id="rId27">
              <w:r w:rsidDel="00000000" w:rsidR="00000000" w:rsidRPr="00000000">
                <w:rPr>
                  <w:rFonts w:ascii="Lato" w:cs="Lato" w:eastAsia="Lato" w:hAnsi="Lato"/>
                  <w:color w:val="0563c1"/>
                  <w:u w:val="single"/>
                  <w:rtl w:val="0"/>
                </w:rPr>
                <w:t xml:space="preserve">Employee Conduct and Appearance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2">
            <w:pPr>
              <w:spacing w:after="0" w:lineRule="auto"/>
              <w:rPr/>
            </w:pPr>
            <w:r w:rsidDel="00000000" w:rsidR="00000000" w:rsidRPr="00000000">
              <w:rPr>
                <w:rFonts w:ascii="Lato" w:cs="Lato" w:eastAsia="Lato" w:hAnsi="Lato"/>
                <w:rtl w:val="0"/>
              </w:rPr>
              <w:t xml:space="preserve">404-R(1)</w:t>
            </w:r>
            <w:r w:rsidDel="00000000" w:rsidR="00000000" w:rsidRPr="00000000">
              <w:rPr>
                <w:rtl w:val="0"/>
              </w:rPr>
            </w:r>
          </w:p>
        </w:tc>
        <w:tc>
          <w:tcPr>
            <w:tcMar>
              <w:top w:w="0.0" w:type="dxa"/>
              <w:bottom w:w="0.0" w:type="dxa"/>
            </w:tcMar>
          </w:tcPr>
          <w:p w:rsidR="00000000" w:rsidDel="00000000" w:rsidP="00000000" w:rsidRDefault="00000000" w:rsidRPr="00000000" w14:paraId="00000053">
            <w:pPr>
              <w:rPr/>
            </w:pPr>
            <w:hyperlink r:id="rId28">
              <w:r w:rsidDel="00000000" w:rsidR="00000000" w:rsidRPr="00000000">
                <w:rPr>
                  <w:rFonts w:ascii="Lato" w:cs="Lato" w:eastAsia="Lato" w:hAnsi="Lato"/>
                  <w:color w:val="0563c1"/>
                  <w:u w:val="single"/>
                  <w:rtl w:val="0"/>
                </w:rPr>
                <w:t xml:space="preserve">Employee Conduct and Appearance - Code of Professional Conduct and Ethics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4">
            <w:pPr>
              <w:spacing w:after="0" w:lineRule="auto"/>
              <w:rPr/>
            </w:pPr>
            <w:r w:rsidDel="00000000" w:rsidR="00000000" w:rsidRPr="00000000">
              <w:rPr>
                <w:rFonts w:ascii="Lato" w:cs="Lato" w:eastAsia="Lato" w:hAnsi="Lato"/>
                <w:rtl w:val="0"/>
              </w:rPr>
              <w:t xml:space="preserve">404-R(2)</w:t>
            </w:r>
            <w:r w:rsidDel="00000000" w:rsidR="00000000" w:rsidRPr="00000000">
              <w:rPr>
                <w:rtl w:val="0"/>
              </w:rPr>
            </w:r>
          </w:p>
        </w:tc>
        <w:tc>
          <w:tcPr>
            <w:tcMar>
              <w:top w:w="0.0" w:type="dxa"/>
              <w:bottom w:w="0.0" w:type="dxa"/>
            </w:tcMar>
          </w:tcPr>
          <w:p w:rsidR="00000000" w:rsidDel="00000000" w:rsidP="00000000" w:rsidRDefault="00000000" w:rsidRPr="00000000" w14:paraId="00000055">
            <w:pPr>
              <w:rPr/>
            </w:pPr>
            <w:hyperlink r:id="rId29">
              <w:r w:rsidDel="00000000" w:rsidR="00000000" w:rsidRPr="00000000">
                <w:rPr>
                  <w:rFonts w:ascii="Lato" w:cs="Lato" w:eastAsia="Lato" w:hAnsi="Lato"/>
                  <w:color w:val="0563c1"/>
                  <w:u w:val="single"/>
                  <w:rtl w:val="0"/>
                </w:rPr>
                <w:t xml:space="preserve">Employee Conduct and Appearance - Code of Rights and Responsibilities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6">
            <w:pPr>
              <w:spacing w:after="0" w:lineRule="auto"/>
              <w:rPr/>
            </w:pPr>
            <w:r w:rsidDel="00000000" w:rsidR="00000000" w:rsidRPr="00000000">
              <w:rPr>
                <w:rFonts w:ascii="Lato" w:cs="Lato" w:eastAsia="Lato" w:hAnsi="Lato"/>
                <w:rtl w:val="0"/>
              </w:rPr>
              <w:t xml:space="preserve">604.11</w:t>
            </w:r>
            <w:r w:rsidDel="00000000" w:rsidR="00000000" w:rsidRPr="00000000">
              <w:rPr>
                <w:rtl w:val="0"/>
              </w:rPr>
            </w:r>
          </w:p>
        </w:tc>
        <w:tc>
          <w:tcPr>
            <w:tcMar>
              <w:top w:w="0.0" w:type="dxa"/>
              <w:bottom w:w="0.0" w:type="dxa"/>
            </w:tcMar>
          </w:tcPr>
          <w:p w:rsidR="00000000" w:rsidDel="00000000" w:rsidP="00000000" w:rsidRDefault="00000000" w:rsidRPr="00000000" w14:paraId="00000057">
            <w:pPr>
              <w:rPr/>
            </w:pPr>
            <w:hyperlink r:id="rId30">
              <w:r w:rsidDel="00000000" w:rsidR="00000000" w:rsidRPr="00000000">
                <w:rPr>
                  <w:rFonts w:ascii="Lato" w:cs="Lato" w:eastAsia="Lato" w:hAnsi="Lato"/>
                  <w:color w:val="0563c1"/>
                  <w:u w:val="single"/>
                  <w:rtl w:val="0"/>
                </w:rPr>
                <w:t xml:space="preserve">Appropriate Use of Online Learning Platforms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8">
            <w:pPr>
              <w:spacing w:after="0" w:lineRule="auto"/>
              <w:rPr/>
            </w:pPr>
            <w:r w:rsidDel="00000000" w:rsidR="00000000" w:rsidRPr="00000000">
              <w:rPr>
                <w:rFonts w:ascii="Lato" w:cs="Lato" w:eastAsia="Lato" w:hAnsi="Lato"/>
                <w:rtl w:val="0"/>
              </w:rPr>
              <w:t xml:space="preserve">605.06</w:t>
            </w:r>
            <w:r w:rsidDel="00000000" w:rsidR="00000000" w:rsidRPr="00000000">
              <w:rPr>
                <w:rtl w:val="0"/>
              </w:rPr>
            </w:r>
          </w:p>
        </w:tc>
        <w:tc>
          <w:tcPr>
            <w:tcMar>
              <w:top w:w="0.0" w:type="dxa"/>
              <w:bottom w:w="0.0" w:type="dxa"/>
            </w:tcMar>
          </w:tcPr>
          <w:p w:rsidR="00000000" w:rsidDel="00000000" w:rsidP="00000000" w:rsidRDefault="00000000" w:rsidRPr="00000000" w14:paraId="00000059">
            <w:pPr>
              <w:rPr/>
            </w:pPr>
            <w:hyperlink r:id="rId31">
              <w:r w:rsidDel="00000000" w:rsidR="00000000" w:rsidRPr="00000000">
                <w:rPr>
                  <w:rFonts w:ascii="Lato" w:cs="Lato" w:eastAsia="Lato" w:hAnsi="Lato"/>
                  <w:color w:val="0563c1"/>
                  <w:u w:val="single"/>
                  <w:rtl w:val="0"/>
                </w:rPr>
                <w:t xml:space="preserve">Internet - Appropriate Use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A">
            <w:pPr>
              <w:spacing w:after="0" w:lineRule="auto"/>
              <w:rPr/>
            </w:pPr>
            <w:r w:rsidDel="00000000" w:rsidR="00000000" w:rsidRPr="00000000">
              <w:rPr>
                <w:rFonts w:ascii="Lato" w:cs="Lato" w:eastAsia="Lato" w:hAnsi="Lato"/>
                <w:rtl w:val="0"/>
              </w:rPr>
              <w:t xml:space="preserve">605.06-R(1)</w:t>
            </w:r>
            <w:r w:rsidDel="00000000" w:rsidR="00000000" w:rsidRPr="00000000">
              <w:rPr>
                <w:rtl w:val="0"/>
              </w:rPr>
            </w:r>
          </w:p>
        </w:tc>
        <w:tc>
          <w:tcPr>
            <w:tcMar>
              <w:top w:w="0.0" w:type="dxa"/>
              <w:bottom w:w="0.0" w:type="dxa"/>
            </w:tcMar>
          </w:tcPr>
          <w:p w:rsidR="00000000" w:rsidDel="00000000" w:rsidP="00000000" w:rsidRDefault="00000000" w:rsidRPr="00000000" w14:paraId="0000005B">
            <w:pPr>
              <w:rPr/>
            </w:pPr>
            <w:hyperlink r:id="rId32">
              <w:r w:rsidDel="00000000" w:rsidR="00000000" w:rsidRPr="00000000">
                <w:rPr>
                  <w:rFonts w:ascii="Lato" w:cs="Lato" w:eastAsia="Lato" w:hAnsi="Lato"/>
                  <w:color w:val="0563c1"/>
                  <w:u w:val="single"/>
                  <w:rtl w:val="0"/>
                </w:rPr>
                <w:t xml:space="preserve">Internet - Appropriate Use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C">
            <w:pPr>
              <w:spacing w:after="0" w:lineRule="auto"/>
              <w:rPr/>
            </w:pPr>
            <w:r w:rsidDel="00000000" w:rsidR="00000000" w:rsidRPr="00000000">
              <w:rPr>
                <w:rFonts w:ascii="Lato" w:cs="Lato" w:eastAsia="Lato" w:hAnsi="Lato"/>
                <w:rtl w:val="0"/>
              </w:rPr>
              <w:t xml:space="preserve">605.06-E(1)</w:t>
            </w:r>
            <w:r w:rsidDel="00000000" w:rsidR="00000000" w:rsidRPr="00000000">
              <w:rPr>
                <w:rtl w:val="0"/>
              </w:rPr>
            </w:r>
          </w:p>
        </w:tc>
        <w:tc>
          <w:tcPr>
            <w:tcMar>
              <w:top w:w="0.0" w:type="dxa"/>
              <w:bottom w:w="0.0" w:type="dxa"/>
            </w:tcMar>
          </w:tcPr>
          <w:p w:rsidR="00000000" w:rsidDel="00000000" w:rsidP="00000000" w:rsidRDefault="00000000" w:rsidRPr="00000000" w14:paraId="0000005D">
            <w:pPr>
              <w:rPr/>
            </w:pPr>
            <w:hyperlink r:id="rId33">
              <w:r w:rsidDel="00000000" w:rsidR="00000000" w:rsidRPr="00000000">
                <w:rPr>
                  <w:rFonts w:ascii="Lato" w:cs="Lato" w:eastAsia="Lato" w:hAnsi="Lato"/>
                  <w:color w:val="0563c1"/>
                  <w:u w:val="single"/>
                  <w:rtl w:val="0"/>
                </w:rPr>
                <w:t xml:space="preserve">Internet - Appropriate Use - Internet Access Permission Letter to Parents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E">
            <w:pPr>
              <w:spacing w:after="0" w:lineRule="auto"/>
              <w:rPr/>
            </w:pPr>
            <w:r w:rsidDel="00000000" w:rsidR="00000000" w:rsidRPr="00000000">
              <w:rPr>
                <w:rFonts w:ascii="Lato" w:cs="Lato" w:eastAsia="Lato" w:hAnsi="Lato"/>
                <w:rtl w:val="0"/>
              </w:rPr>
              <w:t xml:space="preserve">605.06-E(2)</w:t>
            </w:r>
            <w:r w:rsidDel="00000000" w:rsidR="00000000" w:rsidRPr="00000000">
              <w:rPr>
                <w:rtl w:val="0"/>
              </w:rPr>
            </w:r>
          </w:p>
        </w:tc>
        <w:tc>
          <w:tcPr>
            <w:tcMar>
              <w:top w:w="0.0" w:type="dxa"/>
              <w:bottom w:w="0.0" w:type="dxa"/>
            </w:tcMar>
          </w:tcPr>
          <w:p w:rsidR="00000000" w:rsidDel="00000000" w:rsidP="00000000" w:rsidRDefault="00000000" w:rsidRPr="00000000" w14:paraId="0000005F">
            <w:pPr>
              <w:rPr/>
            </w:pPr>
            <w:hyperlink r:id="rId34">
              <w:r w:rsidDel="00000000" w:rsidR="00000000" w:rsidRPr="00000000">
                <w:rPr>
                  <w:rFonts w:ascii="Lato" w:cs="Lato" w:eastAsia="Lato" w:hAnsi="Lato"/>
                  <w:color w:val="0563c1"/>
                  <w:u w:val="single"/>
                  <w:rtl w:val="0"/>
                </w:rPr>
                <w:t xml:space="preserve">Internet - Appropriate Use - Violation Notice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60">
            <w:pPr>
              <w:spacing w:after="0" w:lineRule="auto"/>
              <w:rPr/>
            </w:pPr>
            <w:r w:rsidDel="00000000" w:rsidR="00000000" w:rsidRPr="00000000">
              <w:rPr>
                <w:rFonts w:ascii="Lato" w:cs="Lato" w:eastAsia="Lato" w:hAnsi="Lato"/>
                <w:rtl w:val="0"/>
              </w:rPr>
              <w:t xml:space="preserve">605.08</w:t>
            </w:r>
            <w:r w:rsidDel="00000000" w:rsidR="00000000" w:rsidRPr="00000000">
              <w:rPr>
                <w:rtl w:val="0"/>
              </w:rPr>
            </w:r>
          </w:p>
        </w:tc>
        <w:tc>
          <w:tcPr>
            <w:tcMar>
              <w:top w:w="0.0" w:type="dxa"/>
              <w:bottom w:w="0.0" w:type="dxa"/>
            </w:tcMar>
          </w:tcPr>
          <w:p w:rsidR="00000000" w:rsidDel="00000000" w:rsidP="00000000" w:rsidRDefault="00000000" w:rsidRPr="00000000" w14:paraId="00000061">
            <w:pPr>
              <w:rPr/>
            </w:pPr>
            <w:hyperlink r:id="rId35">
              <w:r w:rsidDel="00000000" w:rsidR="00000000" w:rsidRPr="00000000">
                <w:rPr>
                  <w:rFonts w:ascii="Lato" w:cs="Lato" w:eastAsia="Lato" w:hAnsi="Lato"/>
                  <w:color w:val="0563c1"/>
                  <w:u w:val="single"/>
                  <w:rtl w:val="0"/>
                </w:rPr>
                <w:t xml:space="preserve">Artificial Intelligence int the Educational Environment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62">
            <w:pPr>
              <w:spacing w:after="0" w:lineRule="auto"/>
              <w:rPr/>
            </w:pPr>
            <w:r w:rsidDel="00000000" w:rsidR="00000000" w:rsidRPr="00000000">
              <w:rPr>
                <w:rFonts w:ascii="Lato" w:cs="Lato" w:eastAsia="Lato" w:hAnsi="Lato"/>
                <w:rtl w:val="0"/>
              </w:rPr>
              <w:t xml:space="preserve">605.08-R(1)</w:t>
            </w:r>
            <w:r w:rsidDel="00000000" w:rsidR="00000000" w:rsidRPr="00000000">
              <w:rPr>
                <w:rtl w:val="0"/>
              </w:rPr>
            </w:r>
          </w:p>
        </w:tc>
        <w:tc>
          <w:tcPr>
            <w:tcMar>
              <w:top w:w="0.0" w:type="dxa"/>
              <w:bottom w:w="0.0" w:type="dxa"/>
            </w:tcMar>
          </w:tcPr>
          <w:p w:rsidR="00000000" w:rsidDel="00000000" w:rsidP="00000000" w:rsidRDefault="00000000" w:rsidRPr="00000000" w14:paraId="00000063">
            <w:pPr>
              <w:rPr/>
            </w:pPr>
            <w:hyperlink r:id="rId36">
              <w:r w:rsidDel="00000000" w:rsidR="00000000" w:rsidRPr="00000000">
                <w:rPr>
                  <w:rFonts w:ascii="Lato" w:cs="Lato" w:eastAsia="Lato" w:hAnsi="Lato"/>
                  <w:color w:val="0563c1"/>
                  <w:u w:val="single"/>
                  <w:rtl w:val="0"/>
                </w:rPr>
                <w:t xml:space="preserve">Artificial Intelligence int the Educational Environment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64">
            <w:pPr>
              <w:spacing w:after="0" w:lineRule="auto"/>
              <w:rPr/>
            </w:pPr>
            <w:r w:rsidDel="00000000" w:rsidR="00000000" w:rsidRPr="00000000">
              <w:rPr>
                <w:rFonts w:ascii="Lato" w:cs="Lato" w:eastAsia="Lato" w:hAnsi="Lato"/>
                <w:rtl w:val="0"/>
              </w:rPr>
              <w:t xml:space="preserve">713</w:t>
            </w:r>
            <w:r w:rsidDel="00000000" w:rsidR="00000000" w:rsidRPr="00000000">
              <w:rPr>
                <w:rtl w:val="0"/>
              </w:rPr>
            </w:r>
          </w:p>
        </w:tc>
        <w:tc>
          <w:tcPr>
            <w:tcMar>
              <w:top w:w="0.0" w:type="dxa"/>
              <w:bottom w:w="0.0" w:type="dxa"/>
            </w:tcMar>
          </w:tcPr>
          <w:p w:rsidR="00000000" w:rsidDel="00000000" w:rsidP="00000000" w:rsidRDefault="00000000" w:rsidRPr="00000000" w14:paraId="00000065">
            <w:pPr>
              <w:rPr/>
            </w:pPr>
            <w:hyperlink r:id="rId37">
              <w:r w:rsidDel="00000000" w:rsidR="00000000" w:rsidRPr="00000000">
                <w:rPr>
                  <w:rFonts w:ascii="Lato" w:cs="Lato" w:eastAsia="Lato" w:hAnsi="Lato"/>
                  <w:color w:val="0563c1"/>
                  <w:u w:val="single"/>
                  <w:rtl w:val="0"/>
                </w:rPr>
                <w:t xml:space="preserve">Responsible Technology Use &amp; Social Networking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66">
            <w:pPr>
              <w:spacing w:after="0" w:lineRule="auto"/>
              <w:rPr/>
            </w:pPr>
            <w:r w:rsidDel="00000000" w:rsidR="00000000" w:rsidRPr="00000000">
              <w:rPr>
                <w:rFonts w:ascii="Lato" w:cs="Lato" w:eastAsia="Lato" w:hAnsi="Lato"/>
                <w:rtl w:val="0"/>
              </w:rPr>
              <w:t xml:space="preserve">713-R(1)</w:t>
            </w:r>
            <w:r w:rsidDel="00000000" w:rsidR="00000000" w:rsidRPr="00000000">
              <w:rPr>
                <w:rtl w:val="0"/>
              </w:rPr>
            </w:r>
          </w:p>
        </w:tc>
        <w:tc>
          <w:tcPr>
            <w:tcMar>
              <w:top w:w="0.0" w:type="dxa"/>
              <w:bottom w:w="0.0" w:type="dxa"/>
            </w:tcMar>
          </w:tcPr>
          <w:p w:rsidR="00000000" w:rsidDel="00000000" w:rsidP="00000000" w:rsidRDefault="00000000" w:rsidRPr="00000000" w14:paraId="00000067">
            <w:pPr>
              <w:rPr/>
            </w:pPr>
            <w:hyperlink r:id="rId38">
              <w:r w:rsidDel="00000000" w:rsidR="00000000" w:rsidRPr="00000000">
                <w:rPr>
                  <w:rFonts w:ascii="Lato" w:cs="Lato" w:eastAsia="Lato" w:hAnsi="Lato"/>
                  <w:color w:val="0563c1"/>
                  <w:u w:val="single"/>
                  <w:rtl w:val="0"/>
                </w:rPr>
                <w:t xml:space="preserve">Responsible Technology Use &amp; Social Networking - Regulation</w:t>
              </w:r>
            </w:hyperlink>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character" w:styleId="Emphasis">
    <w:name w:val="Emphasis"/>
    <w:basedOn w:val="DefaultParagraphFont"/>
    <w:uiPriority w:val="20"/>
    <w:qFormat w:val="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mbli.eboardsolutions.com/Policy/ViewPolicy.aspx?S=36031104&amp;revid=Cy6NdoorfVlw1TWFmZcwdA==" TargetMode="External"/><Relationship Id="rId22" Type="http://schemas.openxmlformats.org/officeDocument/2006/relationships/hyperlink" Target="https://simbli.eboardsolutions.com/Policy/ViewPolicy.aspx?S=36031104&amp;revid=TcRtUyI0Kqzslshz6KyUPuSPA==" TargetMode="External"/><Relationship Id="rId21" Type="http://schemas.openxmlformats.org/officeDocument/2006/relationships/hyperlink" Target="https://simbli.eboardsolutions.com/Policy/ViewPolicy.aspx?S=36031104&amp;revid=DpB8KQfBatTn9b180adsVA==" TargetMode="External"/><Relationship Id="rId24" Type="http://schemas.openxmlformats.org/officeDocument/2006/relationships/hyperlink" Target="https://simbli.eboardsolutions.com/Policy/ViewPolicy.aspx?S=36031104&amp;revid=ckslshwToJGinoK4QiVbLtJug==" TargetMode="External"/><Relationship Id="rId23" Type="http://schemas.openxmlformats.org/officeDocument/2006/relationships/hyperlink" Target="https://simbli.eboardsolutions.com/Policy/ViewPolicy.aspx?S=36031104&amp;revid=qjoxe9U2xDjG2Ek8Yfskslsh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80.3.pdf" TargetMode="External"/><Relationship Id="rId26" Type="http://schemas.openxmlformats.org/officeDocument/2006/relationships/hyperlink" Target="https://simbli.eboardsolutions.com/Policy/ViewPolicy.aspx?S=36031104&amp;revid=37LmduVHV1A1bEvRg0Satw==" TargetMode="External"/><Relationship Id="rId25" Type="http://schemas.openxmlformats.org/officeDocument/2006/relationships/hyperlink" Target="https://simbli.eboardsolutions.com/Policy/ViewPolicy.aspx?S=36031104&amp;revid=pzXplusZBiNZWZ8rsuGxpluskLUA==" TargetMode="External"/><Relationship Id="rId28" Type="http://schemas.openxmlformats.org/officeDocument/2006/relationships/hyperlink" Target="https://simbli.eboardsolutions.com/Policy/ViewPolicy.aspx?S=36031104&amp;revid=3bYidVdrEaCplusZzQhhXplus2sg==" TargetMode="External"/><Relationship Id="rId27" Type="http://schemas.openxmlformats.org/officeDocument/2006/relationships/hyperlink" Target="https://simbli.eboardsolutions.com/Policy/ViewPolicy.aspx?S=36031104&amp;revid=tHSbWzMDkTpvVHlIUAl5KQ=="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imbli.eboardsolutions.com/Policy/ViewPolicy.aspx?S=36031104&amp;revid=sswtR2ITm2oZ2jw2WQJiQA==" TargetMode="External"/><Relationship Id="rId7" Type="http://schemas.openxmlformats.org/officeDocument/2006/relationships/hyperlink" Target="https://www.legis.iowa.gov/docs/code/216.9.pdf" TargetMode="External"/><Relationship Id="rId8" Type="http://schemas.openxmlformats.org/officeDocument/2006/relationships/hyperlink" Target="https://www.legis.iowa.gov/docs/code/280.28.pdf" TargetMode="External"/><Relationship Id="rId31" Type="http://schemas.openxmlformats.org/officeDocument/2006/relationships/hyperlink" Target="https://simbli.eboardsolutions.com/Policy/ViewPolicy.aspx?S=36031104&amp;revid=KplusE5etpJCYDslshlS0j3oehAg==" TargetMode="External"/><Relationship Id="rId30" Type="http://schemas.openxmlformats.org/officeDocument/2006/relationships/hyperlink" Target="https://simbli.eboardsolutions.com/Policy/ViewPolicy.aspx?S=36031104&amp;revid=AoA3OtI8ibyQnOOUbpX1Gg==" TargetMode="External"/><Relationship Id="rId11" Type="http://schemas.openxmlformats.org/officeDocument/2006/relationships/hyperlink" Target="https://www.legis.iowa.gov/docs/iac/rule/281.12.3.pdf" TargetMode="External"/><Relationship Id="rId33" Type="http://schemas.openxmlformats.org/officeDocument/2006/relationships/hyperlink" Target="https://simbli.eboardsolutions.com/Policy/ViewPolicy.aspx?S=36031104&amp;revid=3HsD1CR2BlvCplusvfDuWOvslshQ==" TargetMode="External"/><Relationship Id="rId10" Type="http://schemas.openxmlformats.org/officeDocument/2006/relationships/hyperlink" Target="https://www.legis.iowa.gov/docs/code/279.82.pdf" TargetMode="External"/><Relationship Id="rId32" Type="http://schemas.openxmlformats.org/officeDocument/2006/relationships/hyperlink" Target="https://simbli.eboardsolutions.com/Policy/ViewPolicy.aspx?S=36031104&amp;revid=eEWVUAj1Vv7i4ajUB1MYfQ==" TargetMode="External"/><Relationship Id="rId13" Type="http://schemas.openxmlformats.org/officeDocument/2006/relationships/hyperlink" Target="https://www.govinfo.gov/app/details/USCODE-2017-title29/USCODE-2017-title29-chap16-subchapV-sec794" TargetMode="External"/><Relationship Id="rId35" Type="http://schemas.openxmlformats.org/officeDocument/2006/relationships/hyperlink" Target="https://simbli.eboardsolutions.com/Policy/ViewPolicy.aspx?S=36031104&amp;revid=w3NftykL11GGCwVpsQTxvw==" TargetMode="External"/><Relationship Id="rId12" Type="http://schemas.openxmlformats.org/officeDocument/2006/relationships/hyperlink" Target="https://www.govinfo.gov/app/details/USCODE-2017-title20/USCODE-2017-title20-chap31-sec1221" TargetMode="External"/><Relationship Id="rId34" Type="http://schemas.openxmlformats.org/officeDocument/2006/relationships/hyperlink" Target="https://simbli.eboardsolutions.com/Policy/ViewPolicy.aspx?S=36031104&amp;revid=2DxZmfjtlW0YpabTeSBvkw==" TargetMode="External"/><Relationship Id="rId15" Type="http://schemas.openxmlformats.org/officeDocument/2006/relationships/hyperlink" Target="https://www.govinfo.gov/app/details/USCODE-2017-title42/USCODE-2017-title42-chap21-subchapV-sec2000d" TargetMode="External"/><Relationship Id="rId37" Type="http://schemas.openxmlformats.org/officeDocument/2006/relationships/hyperlink" Target="https://simbli.eboardsolutions.com/Policy/ViewPolicy.aspx?S=36031104&amp;revid=520ybdiDvC3SPplus2XJOwpTg==" TargetMode="External"/><Relationship Id="rId14" Type="http://schemas.openxmlformats.org/officeDocument/2006/relationships/hyperlink" Target="https://www.govinfo.gov/app/details/USCODE-2017-title42/USCODE-2017-title42-chap126-sec12101" TargetMode="External"/><Relationship Id="rId36" Type="http://schemas.openxmlformats.org/officeDocument/2006/relationships/hyperlink" Target="https://simbli.eboardsolutions.com/Policy/ViewPolicy.aspx?S=36031104&amp;revid=0WrNHosKJANTcFYplusraEujw==" TargetMode="External"/><Relationship Id="rId17" Type="http://schemas.openxmlformats.org/officeDocument/2006/relationships/hyperlink" Target="https://simbli.eboardsolutions.com/Policy/ViewPolicy.aspx?S=36031104&amp;revid=JORt4gFgIMfkiScatxaK2w==" TargetMode="External"/><Relationship Id="rId16" Type="http://schemas.openxmlformats.org/officeDocument/2006/relationships/hyperlink" Target="https://caselaw.findlaw.com/us-supreme-court/551/393.html" TargetMode="External"/><Relationship Id="rId38" Type="http://schemas.openxmlformats.org/officeDocument/2006/relationships/hyperlink" Target="https://simbli.eboardsolutions.com/Policy/ViewPolicy.aspx?S=36031104&amp;revid=qWx0WBwEq4kJRzVVjhGXhg==" TargetMode="External"/><Relationship Id="rId19" Type="http://schemas.openxmlformats.org/officeDocument/2006/relationships/hyperlink" Target="https://simbli.eboardsolutions.com/Policy/ViewPolicy.aspx?S=36031104&amp;revid=YSp4FiyVSqwU2a0yzuqrwA==" TargetMode="External"/><Relationship Id="rId18" Type="http://schemas.openxmlformats.org/officeDocument/2006/relationships/hyperlink" Target="https://simbli.eboardsolutions.com/Policy/ViewPolicy.aspx?S=36031104&amp;revid=Bc4Bmx3hSGHaGyfA6mEE9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tkeY98o0IHUQdL8WkKF76+QTg==">CgMxLjAyCGguZ2pkZ3hzOAByITE0c0RTdHRxckVtcEd2VGJRT3lNTDdGVUxhNVR3VURycw==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2024-02-14T19:25:00Z</dcterms:created>
  <dc:creator>Linda Heisdorffer</dc:creator>
</cp:coreProperties>
</file>